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A42" w:rsidRDefault="00E16425">
      <w:pPr>
        <w:spacing w:after="47" w:line="259" w:lineRule="auto"/>
        <w:ind w:left="2006" w:firstLine="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2765" cy="516890"/>
            <wp:effectExtent l="0" t="0" r="0" b="0"/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269" w:type="dxa"/>
        <w:tblInd w:w="751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3916"/>
      </w:tblGrid>
      <w:tr w:rsidR="00B61A42">
        <w:trPr>
          <w:trHeight w:val="3183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</w:tcPr>
          <w:p w:rsidR="00B61A42" w:rsidRDefault="00E16425">
            <w:pPr>
              <w:spacing w:after="5" w:line="259" w:lineRule="auto"/>
              <w:ind w:left="408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Ч</w:t>
            </w:r>
            <w:r>
              <w:rPr>
                <w:sz w:val="18"/>
              </w:rPr>
              <w:t>~</w:t>
            </w:r>
            <w:r>
              <w:rPr>
                <w:rFonts w:ascii="Arial" w:eastAsia="Arial" w:hAnsi="Arial" w:cs="Arial"/>
                <w:b/>
                <w:sz w:val="18"/>
              </w:rPr>
              <w:t>ВАШ</w:t>
            </w:r>
            <w:r>
              <w:rPr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Р</w:t>
            </w:r>
            <w:r>
              <w:rPr>
                <w:sz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</w:rPr>
              <w:t>СПУБЛИКИН</w:t>
            </w:r>
            <w:r>
              <w:rPr>
                <w:sz w:val="18"/>
              </w:rPr>
              <w:t xml:space="preserve">  </w:t>
            </w:r>
          </w:p>
          <w:p w:rsidR="00B61A42" w:rsidRDefault="00E16425">
            <w:pPr>
              <w:spacing w:after="6" w:line="259" w:lineRule="auto"/>
              <w:ind w:left="218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В</w:t>
            </w:r>
            <w:r>
              <w:rPr>
                <w:sz w:val="18"/>
              </w:rPr>
              <w:t>+</w:t>
            </w:r>
            <w:r>
              <w:rPr>
                <w:rFonts w:ascii="Arial" w:eastAsia="Arial" w:hAnsi="Arial" w:cs="Arial"/>
                <w:b/>
                <w:sz w:val="18"/>
              </w:rPr>
              <w:t>Р</w:t>
            </w:r>
            <w:r>
              <w:rPr>
                <w:sz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</w:rPr>
              <w:t>Н</w:t>
            </w:r>
            <w:r>
              <w:rPr>
                <w:sz w:val="18"/>
              </w:rPr>
              <w:t xml:space="preserve">_ </w:t>
            </w:r>
            <w:r>
              <w:rPr>
                <w:rFonts w:ascii="Arial" w:eastAsia="Arial" w:hAnsi="Arial" w:cs="Arial"/>
                <w:b/>
                <w:sz w:val="18"/>
              </w:rPr>
              <w:t>ТАТА</w:t>
            </w:r>
            <w:r>
              <w:rPr>
                <w:sz w:val="18"/>
              </w:rPr>
              <w:t xml:space="preserve"> |</w:t>
            </w:r>
            <w:r>
              <w:rPr>
                <w:rFonts w:ascii="Arial" w:eastAsia="Arial" w:hAnsi="Arial" w:cs="Arial"/>
                <w:b/>
                <w:sz w:val="18"/>
              </w:rPr>
              <w:t>АМР</w:t>
            </w:r>
            <w:r>
              <w:rPr>
                <w:sz w:val="18"/>
              </w:rPr>
              <w:t>~</w:t>
            </w:r>
            <w:r>
              <w:rPr>
                <w:rFonts w:ascii="Arial" w:eastAsia="Arial" w:hAnsi="Arial" w:cs="Arial"/>
                <w:b/>
                <w:sz w:val="18"/>
              </w:rPr>
              <w:t>КС</w:t>
            </w:r>
            <w:r>
              <w:rPr>
                <w:sz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</w:rPr>
              <w:t>Н</w:t>
            </w:r>
            <w:r>
              <w:rPr>
                <w:sz w:val="18"/>
              </w:rPr>
              <w:t xml:space="preserve"> </w:t>
            </w:r>
          </w:p>
          <w:p w:rsidR="00B61A42" w:rsidRDefault="00E16425">
            <w:pPr>
              <w:spacing w:line="259" w:lineRule="auto"/>
              <w:ind w:left="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ПОЛИТИКИН</w:t>
            </w:r>
            <w:r>
              <w:rPr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МИНИСТ</w:t>
            </w:r>
            <w:r>
              <w:rPr>
                <w:sz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</w:rPr>
              <w:t>РСТВИ</w:t>
            </w:r>
            <w:r>
              <w:rPr>
                <w:sz w:val="18"/>
              </w:rPr>
              <w:t xml:space="preserve"> </w:t>
            </w:r>
          </w:p>
          <w:p w:rsidR="00B61A42" w:rsidRDefault="00E16425">
            <w:pPr>
              <w:spacing w:line="259" w:lineRule="auto"/>
              <w:ind w:left="1676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B61A42" w:rsidRDefault="00E16425">
            <w:pPr>
              <w:spacing w:after="7" w:line="259" w:lineRule="auto"/>
              <w:ind w:left="46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МИНИСТ</w:t>
            </w:r>
            <w:r>
              <w:rPr>
                <w:sz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</w:rPr>
              <w:t>РСТВО</w:t>
            </w:r>
            <w:r>
              <w:rPr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ОБРАЗОВАНИЯ</w:t>
            </w:r>
            <w:r>
              <w:rPr>
                <w:sz w:val="18"/>
              </w:rPr>
              <w:t xml:space="preserve"> </w:t>
            </w:r>
          </w:p>
          <w:p w:rsidR="00B61A42" w:rsidRDefault="00E16425">
            <w:pPr>
              <w:spacing w:after="7" w:line="259" w:lineRule="auto"/>
              <w:ind w:left="180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И</w:t>
            </w:r>
            <w:r>
              <w:rPr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МОЛОДЁЖНОЙ</w:t>
            </w:r>
            <w:r>
              <w:rPr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ПОЛИТИКИ</w:t>
            </w:r>
            <w:r>
              <w:rPr>
                <w:sz w:val="18"/>
              </w:rPr>
              <w:t xml:space="preserve"> </w:t>
            </w:r>
          </w:p>
          <w:p w:rsidR="00B61A42" w:rsidRDefault="00E16425">
            <w:pPr>
              <w:spacing w:after="16" w:line="259" w:lineRule="auto"/>
              <w:ind w:left="276" w:firstLine="0"/>
              <w:jc w:val="left"/>
            </w:pPr>
            <w:r>
              <w:rPr>
                <w:rFonts w:ascii="Arial" w:eastAsia="Arial" w:hAnsi="Arial" w:cs="Arial"/>
                <w:b/>
                <w:sz w:val="18"/>
              </w:rPr>
              <w:t>ЧУВАШСКОЙ</w:t>
            </w:r>
            <w:r>
              <w:rPr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Р</w:t>
            </w:r>
            <w:r>
              <w:rPr>
                <w:sz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</w:rPr>
              <w:t>СПУБЛИКИ</w:t>
            </w:r>
            <w:r>
              <w:rPr>
                <w:sz w:val="18"/>
              </w:rPr>
              <w:t xml:space="preserve"> </w:t>
            </w:r>
          </w:p>
          <w:p w:rsidR="00B61A42" w:rsidRDefault="00E16425">
            <w:pPr>
              <w:spacing w:line="259" w:lineRule="auto"/>
              <w:ind w:left="48" w:firstLine="0"/>
              <w:jc w:val="left"/>
            </w:pP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 xml:space="preserve">МИНОБРАЗОВАНИЯ ЧУВАШИИ) </w:t>
            </w:r>
          </w:p>
          <w:p w:rsidR="00B61A42" w:rsidRDefault="00E16425">
            <w:pPr>
              <w:spacing w:line="259" w:lineRule="auto"/>
              <w:ind w:left="1676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B61A42" w:rsidRDefault="00E16425">
            <w:pPr>
              <w:spacing w:line="259" w:lineRule="auto"/>
              <w:ind w:left="295" w:firstLine="0"/>
              <w:jc w:val="left"/>
            </w:pPr>
            <w:r>
              <w:rPr>
                <w:b/>
                <w:sz w:val="18"/>
              </w:rPr>
              <w:t>Президентский бульвар,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д.17 </w:t>
            </w:r>
          </w:p>
          <w:p w:rsidR="00B61A42" w:rsidRDefault="00E16425">
            <w:pPr>
              <w:spacing w:line="238" w:lineRule="auto"/>
              <w:ind w:left="792" w:right="717" w:hanging="110"/>
            </w:pPr>
            <w:r>
              <w:rPr>
                <w:b/>
                <w:sz w:val="18"/>
              </w:rPr>
              <w:t xml:space="preserve">г. </w:t>
            </w:r>
            <w:proofErr w:type="spellStart"/>
            <w:r>
              <w:rPr>
                <w:b/>
                <w:sz w:val="18"/>
              </w:rPr>
              <w:t>Чeбоксары</w:t>
            </w:r>
            <w:proofErr w:type="spellEnd"/>
            <w:r>
              <w:rPr>
                <w:b/>
                <w:sz w:val="18"/>
              </w:rPr>
              <w:t xml:space="preserve">, 428004 </w:t>
            </w:r>
            <w:proofErr w:type="gramStart"/>
            <w:r>
              <w:rPr>
                <w:b/>
                <w:sz w:val="18"/>
              </w:rPr>
              <w:t>тел.(</w:t>
            </w:r>
            <w:proofErr w:type="gramEnd"/>
            <w:r>
              <w:rPr>
                <w:b/>
                <w:sz w:val="18"/>
              </w:rPr>
              <w:t xml:space="preserve">8352) 64-21-71 </w:t>
            </w:r>
          </w:p>
          <w:p w:rsidR="00B61A42" w:rsidRDefault="00E16425">
            <w:pPr>
              <w:spacing w:line="259" w:lineRule="auto"/>
              <w:ind w:left="720" w:firstLine="0"/>
              <w:jc w:val="left"/>
            </w:pPr>
            <w:proofErr w:type="gramStart"/>
            <w:r>
              <w:rPr>
                <w:b/>
                <w:sz w:val="18"/>
              </w:rPr>
              <w:t>факс.(</w:t>
            </w:r>
            <w:proofErr w:type="gramEnd"/>
            <w:r>
              <w:rPr>
                <w:b/>
                <w:sz w:val="18"/>
              </w:rPr>
              <w:t>8352) 62</w:t>
            </w:r>
            <w:r>
              <w:rPr>
                <w:b/>
                <w:sz w:val="18"/>
              </w:rPr>
              <w:t xml:space="preserve">-74-15 </w:t>
            </w:r>
          </w:p>
          <w:p w:rsidR="00B61A42" w:rsidRDefault="00E16425">
            <w:pPr>
              <w:spacing w:line="259" w:lineRule="auto"/>
              <w:ind w:left="533" w:firstLine="86"/>
              <w:jc w:val="left"/>
            </w:pPr>
            <w:r>
              <w:rPr>
                <w:b/>
                <w:sz w:val="18"/>
              </w:rPr>
              <w:t>e-</w:t>
            </w:r>
            <w:proofErr w:type="spellStart"/>
            <w:r>
              <w:rPr>
                <w:b/>
                <w:sz w:val="18"/>
              </w:rPr>
              <w:t>mail</w:t>
            </w:r>
            <w:proofErr w:type="spellEnd"/>
            <w:r>
              <w:rPr>
                <w:b/>
                <w:sz w:val="18"/>
              </w:rPr>
              <w:t xml:space="preserve">: minobr@cap.ru </w:t>
            </w:r>
            <w:hyperlink r:id="rId6">
              <w:r>
                <w:rPr>
                  <w:color w:val="0000FF"/>
                  <w:sz w:val="18"/>
                  <w:u w:val="single" w:color="0000FF"/>
                </w:rPr>
                <w:t>http</w:t>
              </w:r>
            </w:hyperlink>
            <w:hyperlink r:id="rId7">
              <w:r>
                <w:rPr>
                  <w:color w:val="0000FF"/>
                  <w:sz w:val="18"/>
                  <w:u w:val="single" w:color="0000FF"/>
                </w:rPr>
                <w:t>://</w:t>
              </w:r>
            </w:hyperlink>
            <w:hyperlink r:id="rId8">
              <w:r>
                <w:rPr>
                  <w:color w:val="0000FF"/>
                  <w:sz w:val="18"/>
                  <w:u w:val="single" w:color="0000FF"/>
                </w:rPr>
                <w:t>www</w:t>
              </w:r>
            </w:hyperlink>
            <w:hyperlink r:id="rId9">
              <w:r>
                <w:rPr>
                  <w:color w:val="0000FF"/>
                  <w:sz w:val="18"/>
                  <w:u w:val="single" w:color="0000FF"/>
                </w:rPr>
                <w:t>.</w:t>
              </w:r>
            </w:hyperlink>
            <w:hyperlink r:id="rId10">
              <w:r>
                <w:rPr>
                  <w:color w:val="0000FF"/>
                  <w:sz w:val="18"/>
                  <w:u w:val="single" w:color="0000FF"/>
                </w:rPr>
                <w:t>obrazov</w:t>
              </w:r>
            </w:hyperlink>
            <w:hyperlink r:id="rId11">
              <w:r>
                <w:rPr>
                  <w:color w:val="0000FF"/>
                  <w:sz w:val="18"/>
                  <w:u w:val="single" w:color="0000FF"/>
                </w:rPr>
                <w:t>.</w:t>
              </w:r>
            </w:hyperlink>
            <w:hyperlink r:id="rId12">
              <w:r>
                <w:rPr>
                  <w:color w:val="0000FF"/>
                  <w:sz w:val="18"/>
                  <w:u w:val="single" w:color="0000FF"/>
                </w:rPr>
                <w:t>cap</w:t>
              </w:r>
            </w:hyperlink>
            <w:hyperlink r:id="rId13">
              <w:r>
                <w:rPr>
                  <w:color w:val="0000FF"/>
                  <w:sz w:val="18"/>
                  <w:u w:val="single" w:color="0000FF"/>
                </w:rPr>
                <w:t>.</w:t>
              </w:r>
            </w:hyperlink>
            <w:hyperlink r:id="rId14">
              <w:r>
                <w:rPr>
                  <w:color w:val="0000FF"/>
                  <w:sz w:val="18"/>
                  <w:u w:val="single" w:color="0000FF"/>
                </w:rPr>
                <w:t>ru</w:t>
              </w:r>
            </w:hyperlink>
            <w:hyperlink r:id="rId15">
              <w:r>
                <w:rPr>
                  <w:b/>
                  <w:sz w:val="18"/>
                </w:rPr>
                <w:t xml:space="preserve"> </w:t>
              </w:r>
            </w:hyperlink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</w:tcPr>
          <w:p w:rsidR="00B61A42" w:rsidRDefault="00E16425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  <w:p w:rsidR="00B61A42" w:rsidRDefault="00E16425">
            <w:pPr>
              <w:spacing w:line="238" w:lineRule="auto"/>
              <w:ind w:left="0" w:firstLine="0"/>
              <w:jc w:val="left"/>
            </w:pPr>
            <w:r>
              <w:t xml:space="preserve">Органы управления образования муниципальных районов и городских </w:t>
            </w:r>
          </w:p>
          <w:p w:rsidR="00B61A42" w:rsidRDefault="00E16425">
            <w:pPr>
              <w:spacing w:line="259" w:lineRule="auto"/>
              <w:ind w:left="0" w:firstLine="0"/>
              <w:jc w:val="left"/>
            </w:pPr>
            <w:r>
              <w:t xml:space="preserve">округов Чувашской Республики </w:t>
            </w:r>
          </w:p>
          <w:p w:rsidR="00B61A42" w:rsidRDefault="00E16425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  <w:p w:rsidR="00B61A42" w:rsidRDefault="00E16425">
            <w:pPr>
              <w:spacing w:line="238" w:lineRule="auto"/>
              <w:ind w:left="0" w:firstLine="0"/>
              <w:jc w:val="left"/>
            </w:pPr>
            <w:r>
              <w:t xml:space="preserve">Образовательные организации, подведомственные Минобразования </w:t>
            </w:r>
          </w:p>
          <w:p w:rsidR="00B61A42" w:rsidRDefault="00E16425">
            <w:pPr>
              <w:spacing w:line="259" w:lineRule="auto"/>
              <w:ind w:left="0" w:firstLine="0"/>
              <w:jc w:val="left"/>
            </w:pPr>
            <w:r>
              <w:t xml:space="preserve">Чувашии </w:t>
            </w:r>
          </w:p>
          <w:p w:rsidR="00B61A42" w:rsidRDefault="00E16425">
            <w:pPr>
              <w:spacing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B61A42" w:rsidRDefault="00E16425">
            <w:pPr>
              <w:spacing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  <w:p w:rsidR="00B61A42" w:rsidRDefault="00E16425">
            <w:pPr>
              <w:spacing w:line="259" w:lineRule="auto"/>
              <w:ind w:left="0" w:firstLine="0"/>
              <w:jc w:val="left"/>
            </w:pPr>
            <w:r>
              <w:rPr>
                <w:sz w:val="26"/>
              </w:rPr>
              <w:t xml:space="preserve"> </w:t>
            </w:r>
          </w:p>
        </w:tc>
      </w:tr>
    </w:tbl>
    <w:p w:rsidR="00B61A42" w:rsidRDefault="00E16425">
      <w:pPr>
        <w:spacing w:after="53" w:line="259" w:lineRule="auto"/>
        <w:ind w:left="2427" w:firstLine="0"/>
        <w:jc w:val="left"/>
      </w:pPr>
      <w:r>
        <w:rPr>
          <w:b/>
          <w:sz w:val="16"/>
        </w:rPr>
        <w:t xml:space="preserve"> </w:t>
      </w:r>
    </w:p>
    <w:p w:rsidR="00B61A42" w:rsidRDefault="00E16425">
      <w:pPr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690811</wp:posOffset>
            </wp:positionH>
            <wp:positionV relativeFrom="paragraph">
              <wp:posOffset>-44690</wp:posOffset>
            </wp:positionV>
            <wp:extent cx="1809756" cy="161928"/>
            <wp:effectExtent l="0" t="0" r="0" b="0"/>
            <wp:wrapNone/>
            <wp:docPr id="258" name="Picture 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Picture 25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6" cy="161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___________ № __________ </w:t>
      </w:r>
    </w:p>
    <w:p w:rsidR="00B61A42" w:rsidRDefault="00E16425">
      <w:pPr>
        <w:ind w:left="919" w:firstLine="0"/>
      </w:pPr>
      <w:r>
        <w:t xml:space="preserve">На № ________ </w:t>
      </w:r>
      <w:r>
        <w:t xml:space="preserve">от _________ </w:t>
      </w:r>
    </w:p>
    <w:p w:rsidR="00B61A42" w:rsidRDefault="00E16425">
      <w:pPr>
        <w:spacing w:line="259" w:lineRule="auto"/>
        <w:ind w:left="2427" w:firstLine="0"/>
        <w:jc w:val="left"/>
      </w:pPr>
      <w:r>
        <w:t xml:space="preserve"> </w:t>
      </w:r>
    </w:p>
    <w:p w:rsidR="00B61A42" w:rsidRDefault="00E16425">
      <w:pPr>
        <w:spacing w:line="259" w:lineRule="auto"/>
        <w:ind w:left="2427" w:firstLine="0"/>
        <w:jc w:val="left"/>
      </w:pPr>
      <w:r>
        <w:t xml:space="preserve"> </w:t>
      </w:r>
    </w:p>
    <w:p w:rsidR="00B61A42" w:rsidRDefault="00E16425">
      <w:pPr>
        <w:spacing w:after="135" w:line="259" w:lineRule="auto"/>
        <w:ind w:left="2427" w:firstLine="0"/>
        <w:jc w:val="left"/>
      </w:pPr>
      <w:r>
        <w:t xml:space="preserve"> </w:t>
      </w:r>
    </w:p>
    <w:p w:rsidR="00B61A42" w:rsidRDefault="00E16425">
      <w:pPr>
        <w:ind w:left="-15"/>
      </w:pPr>
      <w:r>
        <w:t>Министерство образования и молодежной политики Чувашской Республики</w:t>
      </w: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 (далее – Министерство) в соответствии с поручениями рабочей группы </w:t>
      </w:r>
      <w:r>
        <w:t xml:space="preserve">для координации работы региональных и территориальных органов управления образованием в условиях текущей эпидемиологической ситуации на территории Российской Федерации и распоряжением Главы Чувашской Республики от 18 марта 2020 г. № 113-рг рекомендует: </w:t>
      </w:r>
    </w:p>
    <w:p w:rsidR="00B61A42" w:rsidRDefault="00E16425">
      <w:pPr>
        <w:numPr>
          <w:ilvl w:val="0"/>
          <w:numId w:val="1"/>
        </w:numPr>
      </w:pPr>
      <w:r>
        <w:t xml:space="preserve">С </w:t>
      </w:r>
      <w:r>
        <w:t>18 марта 2020 г. установить режим свободного посещения занятий учащимися образовательных организаций, расположенных на территории Чувашской Республики, по усмотрению родителей, законных представителей, опекунов, попечителей на период действия режима повыше</w:t>
      </w:r>
      <w:r>
        <w:t xml:space="preserve">нной готовности, установленного вышеуказанным распоряжением. </w:t>
      </w:r>
    </w:p>
    <w:p w:rsidR="00B61A42" w:rsidRDefault="00E16425">
      <w:pPr>
        <w:numPr>
          <w:ilvl w:val="0"/>
          <w:numId w:val="1"/>
        </w:numPr>
      </w:pPr>
      <w:r>
        <w:t xml:space="preserve">Не позднее 23 марта 2020 года объявить во всех школах каникулы. Сроки каникул установить в соответствии с ранее утвержденным календарным учебным графиком. </w:t>
      </w:r>
    </w:p>
    <w:p w:rsidR="00B61A42" w:rsidRDefault="00E16425">
      <w:pPr>
        <w:numPr>
          <w:ilvl w:val="0"/>
          <w:numId w:val="1"/>
        </w:numPr>
      </w:pPr>
      <w:r>
        <w:t xml:space="preserve">В течение каникул проработать меры по переходу на дистанционное обучение, включающие в себя: </w:t>
      </w:r>
    </w:p>
    <w:p w:rsidR="00B61A42" w:rsidRDefault="00E16425">
      <w:pPr>
        <w:numPr>
          <w:ilvl w:val="0"/>
          <w:numId w:val="2"/>
        </w:numPr>
        <w:ind w:left="705" w:hanging="139"/>
      </w:pPr>
      <w:r>
        <w:t xml:space="preserve">организацию передачи заданий учащимся и выполненных работ учителям; </w:t>
      </w:r>
    </w:p>
    <w:p w:rsidR="00B61A42" w:rsidRDefault="00E16425">
      <w:pPr>
        <w:numPr>
          <w:ilvl w:val="0"/>
          <w:numId w:val="2"/>
        </w:numPr>
        <w:ind w:left="705" w:hanging="139"/>
      </w:pPr>
      <w:r>
        <w:t xml:space="preserve">контроль за посещением занятий в дистанционной форме; </w:t>
      </w:r>
    </w:p>
    <w:p w:rsidR="00B61A42" w:rsidRDefault="00E16425">
      <w:pPr>
        <w:numPr>
          <w:ilvl w:val="0"/>
          <w:numId w:val="2"/>
        </w:numPr>
        <w:ind w:left="705" w:hanging="139"/>
      </w:pPr>
      <w:r>
        <w:t>взаимодействие с родителями (законными</w:t>
      </w:r>
      <w:r>
        <w:t xml:space="preserve"> представителями) учащихся; </w:t>
      </w:r>
    </w:p>
    <w:p w:rsidR="00B61A42" w:rsidRDefault="00E16425">
      <w:pPr>
        <w:numPr>
          <w:ilvl w:val="0"/>
          <w:numId w:val="2"/>
        </w:numPr>
        <w:ind w:left="705" w:hanging="139"/>
      </w:pPr>
      <w:r>
        <w:t xml:space="preserve">использование электронных форм учебников и образовательных </w:t>
      </w:r>
      <w:proofErr w:type="gramStart"/>
      <w:r>
        <w:t>он-</w:t>
      </w:r>
      <w:proofErr w:type="spellStart"/>
      <w:r>
        <w:t>лайн</w:t>
      </w:r>
      <w:proofErr w:type="spellEnd"/>
      <w:proofErr w:type="gramEnd"/>
      <w:r>
        <w:t xml:space="preserve"> платформ. </w:t>
      </w:r>
    </w:p>
    <w:p w:rsidR="00B61A42" w:rsidRDefault="00E16425">
      <w:pPr>
        <w:numPr>
          <w:ilvl w:val="0"/>
          <w:numId w:val="3"/>
        </w:numPr>
      </w:pPr>
      <w:r>
        <w:t>По окончании каникул предусмотреть возможность организации обучения в очной форме в случае необходимости и при соблюдении всех санитарных требований.</w:t>
      </w:r>
      <w:r>
        <w:t xml:space="preserve"> </w:t>
      </w:r>
    </w:p>
    <w:p w:rsidR="00B61A42" w:rsidRDefault="00E16425">
      <w:pPr>
        <w:numPr>
          <w:ilvl w:val="0"/>
          <w:numId w:val="3"/>
        </w:numPr>
      </w:pPr>
      <w:r>
        <w:t xml:space="preserve">На период каникул отменить или перевести в дистанционный формат все занятия в учреждениях дополнительного образования.  </w:t>
      </w:r>
    </w:p>
    <w:p w:rsidR="00B61A42" w:rsidRDefault="00E16425">
      <w:pPr>
        <w:ind w:left="-15"/>
      </w:pPr>
      <w:r>
        <w:t>Информация о необходимости организации обучения в дистанционной форме по окончании каникул и сроки такого обучения будут доведены Мин</w:t>
      </w:r>
      <w:r>
        <w:t xml:space="preserve">истерством до органов управления образования в установленном порядке до 27 марта 2020 года. </w:t>
      </w:r>
    </w:p>
    <w:p w:rsidR="00B61A42" w:rsidRDefault="00E16425">
      <w:pPr>
        <w:ind w:left="-15"/>
      </w:pPr>
      <w:r>
        <w:t>Министерство информирует, что по телефону 8-800-200-91-85 начала работу горячая линия методической поддержки учителей и директоров школ по организации дистанционно</w:t>
      </w:r>
      <w:r>
        <w:t xml:space="preserve">го обучения. По указанному телефону директора школ и учителя могут </w:t>
      </w:r>
      <w:r>
        <w:lastRenderedPageBreak/>
        <w:t xml:space="preserve">уточнить информацию, связанную с организацией самого процесса дистанционного обучения и тех </w:t>
      </w:r>
      <w:proofErr w:type="spellStart"/>
      <w:r>
        <w:t>интернет-ресурсов</w:t>
      </w:r>
      <w:proofErr w:type="spellEnd"/>
      <w:r>
        <w:t xml:space="preserve">, которые для этого созданы. </w:t>
      </w:r>
    </w:p>
    <w:p w:rsidR="00B61A42" w:rsidRDefault="00E16425">
      <w:pPr>
        <w:ind w:left="-15"/>
      </w:pPr>
      <w:r>
        <w:t>Министерство сообщает, что издательствами, выпуска</w:t>
      </w:r>
      <w:r>
        <w:t>ющими учебную литературу, открыт бесплатный доступ к базе электронных учебников. Бесплатный доступ также открыт к платформам российской и московской электронных школ, другим образовательным ресурсам, которые используются для дистанционного онлайн-обучения.</w:t>
      </w:r>
      <w:r>
        <w:t xml:space="preserve"> </w:t>
      </w:r>
    </w:p>
    <w:p w:rsidR="00B61A42" w:rsidRDefault="00E16425">
      <w:pPr>
        <w:ind w:left="-15"/>
      </w:pPr>
      <w:r>
        <w:t>Вся необходимая информация и рекомендации будут оперативно доводиться Министерством до органов управления образования в установленном порядке. Просим обеспечить дальнейшее информирование образовательных организаций и всех участников образовательного проц</w:t>
      </w:r>
      <w:r>
        <w:t xml:space="preserve">есса. </w:t>
      </w:r>
    </w:p>
    <w:p w:rsidR="00B61A42" w:rsidRDefault="00E16425">
      <w:pPr>
        <w:spacing w:line="259" w:lineRule="auto"/>
        <w:ind w:left="566" w:firstLine="0"/>
        <w:jc w:val="left"/>
      </w:pPr>
      <w:r>
        <w:t xml:space="preserve"> </w:t>
      </w:r>
    </w:p>
    <w:p w:rsidR="00B61A42" w:rsidRDefault="00E16425">
      <w:pPr>
        <w:spacing w:after="5" w:line="259" w:lineRule="auto"/>
        <w:ind w:left="566" w:right="27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1919564</wp:posOffset>
                </wp:positionH>
                <wp:positionV relativeFrom="paragraph">
                  <wp:posOffset>5959</wp:posOffset>
                </wp:positionV>
                <wp:extent cx="2381256" cy="1028700"/>
                <wp:effectExtent l="0" t="0" r="0" b="0"/>
                <wp:wrapSquare wrapText="bothSides"/>
                <wp:docPr id="2173" name="Group 2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6" cy="1028700"/>
                          <a:chOff x="0" y="0"/>
                          <a:chExt cx="2381256" cy="1028700"/>
                        </a:xfrm>
                      </wpg:grpSpPr>
                      <wps:wsp>
                        <wps:cNvPr id="326" name="Rectangle 326"/>
                        <wps:cNvSpPr/>
                        <wps:spPr>
                          <a:xfrm>
                            <a:off x="2127241" y="169301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61A42" w:rsidRDefault="00E1642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6" cy="1028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73" style="width:187.5pt;height:81pt;position:absolute;mso-position-horizontal-relative:text;mso-position-horizontal:absolute;margin-left:151.147pt;mso-position-vertical-relative:text;margin-top:0.469177pt;" coordsize="23812,10287">
                <v:rect id="Rectangle 326" style="position:absolute;width:506;height:1843;left:21272;top:16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373" style="position:absolute;width:23812;height:10287;left:0;top:0;" filled="f">
                  <v:imagedata r:id="rId18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B61A42" w:rsidRDefault="00E16425">
      <w:pPr>
        <w:tabs>
          <w:tab w:val="center" w:pos="7081"/>
          <w:tab w:val="right" w:pos="9501"/>
        </w:tabs>
        <w:spacing w:after="68"/>
        <w:ind w:left="-15" w:firstLine="0"/>
        <w:jc w:val="left"/>
      </w:pPr>
      <w:proofErr w:type="spellStart"/>
      <w:r>
        <w:t>И.о</w:t>
      </w:r>
      <w:proofErr w:type="spellEnd"/>
      <w:r>
        <w:t xml:space="preserve">. министра                                                                           </w:t>
      </w:r>
      <w:r>
        <w:tab/>
        <w:t xml:space="preserve"> </w:t>
      </w:r>
      <w:r>
        <w:tab/>
        <w:t xml:space="preserve">     С.П. Яковлев </w:t>
      </w:r>
    </w:p>
    <w:p w:rsidR="00B61A42" w:rsidRDefault="00E16425">
      <w:pPr>
        <w:spacing w:line="259" w:lineRule="auto"/>
        <w:ind w:left="0" w:right="2728" w:firstLine="0"/>
        <w:jc w:val="left"/>
      </w:pPr>
      <w:r>
        <w:rPr>
          <w:sz w:val="32"/>
        </w:rPr>
        <w:t xml:space="preserve"> </w:t>
      </w:r>
    </w:p>
    <w:p w:rsidR="00B61A42" w:rsidRDefault="00E16425">
      <w:pPr>
        <w:spacing w:line="259" w:lineRule="auto"/>
        <w:ind w:left="0" w:right="2728" w:firstLine="0"/>
        <w:jc w:val="left"/>
      </w:pPr>
      <w:r>
        <w:rPr>
          <w:sz w:val="32"/>
        </w:rPr>
        <w:t xml:space="preserve"> </w:t>
      </w:r>
    </w:p>
    <w:p w:rsidR="00B61A42" w:rsidRDefault="00E16425">
      <w:pPr>
        <w:spacing w:line="259" w:lineRule="auto"/>
        <w:ind w:left="0" w:right="2728" w:firstLine="0"/>
        <w:jc w:val="left"/>
      </w:pPr>
      <w:r>
        <w:rPr>
          <w:sz w:val="32"/>
        </w:rPr>
        <w:t xml:space="preserve"> </w:t>
      </w:r>
    </w:p>
    <w:p w:rsidR="00B61A42" w:rsidRDefault="00E16425">
      <w:pPr>
        <w:spacing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B61A42" w:rsidRDefault="00E16425">
      <w:pPr>
        <w:spacing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B61A42" w:rsidRDefault="00E16425">
      <w:pPr>
        <w:spacing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B61A42" w:rsidRDefault="00E16425">
      <w:pPr>
        <w:spacing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B61A42" w:rsidRDefault="00E16425">
      <w:pPr>
        <w:spacing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B61A42" w:rsidRDefault="00E16425">
      <w:pPr>
        <w:spacing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B61A42" w:rsidRDefault="00E16425">
      <w:pPr>
        <w:spacing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B61A42" w:rsidRDefault="00E16425">
      <w:pPr>
        <w:spacing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B61A42" w:rsidRDefault="00E16425">
      <w:pPr>
        <w:spacing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B61A42" w:rsidRDefault="00E16425">
      <w:pPr>
        <w:spacing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B61A42" w:rsidRDefault="00E16425">
      <w:pPr>
        <w:spacing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B61A42" w:rsidRDefault="00E16425">
      <w:pPr>
        <w:spacing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B61A42" w:rsidRDefault="00E16425">
      <w:pPr>
        <w:spacing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B61A42" w:rsidRDefault="00E16425">
      <w:pPr>
        <w:spacing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B61A42" w:rsidRDefault="00E16425">
      <w:pPr>
        <w:spacing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B61A42" w:rsidRDefault="00E16425">
      <w:pPr>
        <w:spacing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B61A42" w:rsidRDefault="00E16425">
      <w:pPr>
        <w:spacing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B61A42" w:rsidRDefault="00E16425">
      <w:pPr>
        <w:spacing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B61A42" w:rsidRDefault="00E16425">
      <w:pPr>
        <w:spacing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B61A42" w:rsidRDefault="00E16425">
      <w:pPr>
        <w:spacing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B61A42" w:rsidRDefault="00E16425">
      <w:pPr>
        <w:spacing w:after="22" w:line="259" w:lineRule="auto"/>
        <w:ind w:left="-5" w:hanging="10"/>
        <w:jc w:val="left"/>
      </w:pPr>
      <w:proofErr w:type="spellStart"/>
      <w:r>
        <w:rPr>
          <w:sz w:val="18"/>
        </w:rPr>
        <w:t>Ширшов</w:t>
      </w:r>
      <w:proofErr w:type="spellEnd"/>
      <w:r>
        <w:rPr>
          <w:sz w:val="18"/>
        </w:rPr>
        <w:t xml:space="preserve"> Антон Андреевич </w:t>
      </w:r>
    </w:p>
    <w:p w:rsidR="00B61A42" w:rsidRDefault="00E16425">
      <w:pPr>
        <w:spacing w:after="22" w:line="259" w:lineRule="auto"/>
        <w:ind w:left="-5" w:hanging="10"/>
        <w:jc w:val="left"/>
      </w:pPr>
      <w:r>
        <w:rPr>
          <w:sz w:val="18"/>
        </w:rPr>
        <w:t xml:space="preserve">8(8352)64-21-75, </w:t>
      </w:r>
      <w:r>
        <w:rPr>
          <w:color w:val="0000FF"/>
          <w:sz w:val="18"/>
          <w:u w:val="single" w:color="0000FF"/>
        </w:rPr>
        <w:t>obrazov35@cap.ru</w:t>
      </w:r>
      <w:r>
        <w:rPr>
          <w:sz w:val="18"/>
        </w:rPr>
        <w:t xml:space="preserve"> </w:t>
      </w:r>
      <w:r>
        <w:t xml:space="preserve"> </w:t>
      </w:r>
    </w:p>
    <w:sectPr w:rsidR="00B61A42">
      <w:pgSz w:w="11906" w:h="16838"/>
      <w:pgMar w:top="993" w:right="703" w:bottom="133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264"/>
    <w:multiLevelType w:val="hybridMultilevel"/>
    <w:tmpl w:val="A4E4384A"/>
    <w:lvl w:ilvl="0" w:tplc="D88C02D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84FC2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AC45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5671C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3CEE3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501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B60F4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CCDC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48BE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B853A2"/>
    <w:multiLevelType w:val="hybridMultilevel"/>
    <w:tmpl w:val="75188C04"/>
    <w:lvl w:ilvl="0" w:tplc="FEBAADFA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2FAD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871B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269AD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E1EE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8E59F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0B9C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BEE8D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4960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F525B4"/>
    <w:multiLevelType w:val="hybridMultilevel"/>
    <w:tmpl w:val="3C1A41A6"/>
    <w:lvl w:ilvl="0" w:tplc="F1F4E7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DC373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2A3B8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16A45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5A734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0CCC9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4FC2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42F6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D6945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42"/>
    <w:rsid w:val="00B61A42"/>
    <w:rsid w:val="00E1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0CCFB-E714-4FCD-A17F-CC722EDB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left="991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zov.cap.ru/" TargetMode="External"/><Relationship Id="rId13" Type="http://schemas.openxmlformats.org/officeDocument/2006/relationships/hyperlink" Target="http://www.obrazov.cap.ru/" TargetMode="External"/><Relationship Id="rId1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hyperlink" Target="http://www.obrazov.cap.ru/" TargetMode="External"/><Relationship Id="rId12" Type="http://schemas.openxmlformats.org/officeDocument/2006/relationships/hyperlink" Target="http://www.obrazov.cap.ru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brazov.cap.ru/" TargetMode="External"/><Relationship Id="rId11" Type="http://schemas.openxmlformats.org/officeDocument/2006/relationships/hyperlink" Target="http://www.obrazov.cap.ru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obrazov.cap.ru/" TargetMode="External"/><Relationship Id="rId10" Type="http://schemas.openxmlformats.org/officeDocument/2006/relationships/hyperlink" Target="http://www.obrazov.cap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brazov.cap.ru/" TargetMode="External"/><Relationship Id="rId14" Type="http://schemas.openxmlformats.org/officeDocument/2006/relationships/hyperlink" Target="http://www.obrazov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3318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11.</dc:creator>
  <cp:keywords/>
  <cp:lastModifiedBy>SKAZKA</cp:lastModifiedBy>
  <cp:revision>2</cp:revision>
  <dcterms:created xsi:type="dcterms:W3CDTF">2020-03-19T12:49:00Z</dcterms:created>
  <dcterms:modified xsi:type="dcterms:W3CDTF">2020-03-19T12:49:00Z</dcterms:modified>
</cp:coreProperties>
</file>